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F4C" w:rsidRDefault="00AC6F4C" w:rsidP="00AC6F4C"/>
    <w:p w:rsidR="005A2239" w:rsidRDefault="005A2239" w:rsidP="005A2239">
      <w:pPr>
        <w:jc w:val="both"/>
      </w:pPr>
      <w:bookmarkStart w:id="0" w:name="_GoBack"/>
      <w:bookmarkEnd w:id="0"/>
      <w:r w:rsidRPr="005A2239">
        <w:t>Na podstawie</w:t>
      </w:r>
      <w:r>
        <w:t xml:space="preserve"> </w:t>
      </w:r>
      <w:r w:rsidRPr="005A2239">
        <w:t>§ 1</w:t>
      </w:r>
      <w:r>
        <w:t>5</w:t>
      </w:r>
      <w:r w:rsidRPr="005A2239">
        <w:t xml:space="preserve"> ust. </w:t>
      </w:r>
      <w:r>
        <w:t>3</w:t>
      </w:r>
      <w:r w:rsidRPr="005A2239">
        <w:t xml:space="preserve"> Rozporządzenia Ministra Kultury i Dziedzictwa Narodowego z dnia 26 maja 2011 r. (Dz. U. Nr 113, poz. 661), w sprawie prowadzenia rejestru zabytków, krajowej, wojewódzkiej i gminnej ewidencji zabytków oraz krajowego wykazu zabytków skradzionych lub wywiezionych za granicę niezgodnie z prawem, zmienionego Rozporządzeniem z dnia 10 września 2019 r. (Dz.U.2019.1886)</w:t>
      </w:r>
      <w:r>
        <w:t>,</w:t>
      </w:r>
      <w:r w:rsidRPr="005A2239">
        <w:t xml:space="preserve"> art. 91 ust. 4 pkt 3, art. 22 ust. 2 ustawy z dnia 23 lipca 2003 r. o ochronie zabytków i opiece nad zabytkami (tekst jednolity: Dz. U. z 2020 r., poz. 282</w:t>
      </w:r>
      <w:r w:rsidR="00B36ECD">
        <w:t xml:space="preserve">, z </w:t>
      </w:r>
      <w:proofErr w:type="spellStart"/>
      <w:r w:rsidR="00B36ECD">
        <w:t>późn</w:t>
      </w:r>
      <w:proofErr w:type="spellEnd"/>
      <w:r w:rsidR="00B36ECD">
        <w:t>. zm.</w:t>
      </w:r>
      <w:r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>
        <w:t>zawiadamia o zamiarze wyłączenia karty ewidencyjnej zabytku</w:t>
      </w:r>
      <w:r w:rsidR="00252D65">
        <w:t xml:space="preserve"> nieruchomego</w:t>
      </w:r>
      <w:r>
        <w:t xml:space="preserve"> – </w:t>
      </w:r>
      <w:r w:rsidR="00F30B04">
        <w:t>oficyny</w:t>
      </w:r>
      <w:r>
        <w:t xml:space="preserve"> w </w:t>
      </w:r>
      <w:r w:rsidR="003B6608">
        <w:t xml:space="preserve">założeniu pałacowym </w:t>
      </w:r>
      <w:r>
        <w:t xml:space="preserve">m. </w:t>
      </w:r>
      <w:r w:rsidR="00F30B04">
        <w:t>Lusowo</w:t>
      </w:r>
      <w:r>
        <w:t xml:space="preserve">, </w:t>
      </w:r>
      <w:r w:rsidR="003A0E4A">
        <w:t xml:space="preserve">gm. </w:t>
      </w:r>
      <w:r w:rsidR="00F30B04">
        <w:t>Tarnowo Podgórne</w:t>
      </w:r>
      <w:r w:rsidR="003A0E4A">
        <w:t xml:space="preserve">, </w:t>
      </w:r>
      <w:r>
        <w:t xml:space="preserve">pow. </w:t>
      </w:r>
      <w:r w:rsidR="00B36ECD">
        <w:t>poznański</w:t>
      </w:r>
      <w:r>
        <w:t xml:space="preserve"> - z wojewódzkiej ewidencji zabytków.</w:t>
      </w:r>
    </w:p>
    <w:p w:rsidR="005A2239" w:rsidRPr="005A2239" w:rsidRDefault="005A2239" w:rsidP="005A2239">
      <w:pPr>
        <w:jc w:val="both"/>
      </w:pPr>
    </w:p>
    <w:p w:rsidR="005A2239" w:rsidRDefault="005A2239" w:rsidP="00AC6F4C"/>
    <w:sectPr w:rsid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D511B"/>
    <w:rsid w:val="00151206"/>
    <w:rsid w:val="00252D65"/>
    <w:rsid w:val="002A2789"/>
    <w:rsid w:val="00395AF6"/>
    <w:rsid w:val="003A0E4A"/>
    <w:rsid w:val="003B6608"/>
    <w:rsid w:val="005A2239"/>
    <w:rsid w:val="006D44F5"/>
    <w:rsid w:val="008E3AC8"/>
    <w:rsid w:val="00911980"/>
    <w:rsid w:val="00AC6F4C"/>
    <w:rsid w:val="00AD051E"/>
    <w:rsid w:val="00B36ECD"/>
    <w:rsid w:val="00C02D4F"/>
    <w:rsid w:val="00DF028B"/>
    <w:rsid w:val="00F3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jbeger</cp:lastModifiedBy>
  <cp:revision>2</cp:revision>
  <cp:lastPrinted>2020-04-17T07:36:00Z</cp:lastPrinted>
  <dcterms:created xsi:type="dcterms:W3CDTF">2020-12-01T12:39:00Z</dcterms:created>
  <dcterms:modified xsi:type="dcterms:W3CDTF">2020-12-01T12:39:00Z</dcterms:modified>
</cp:coreProperties>
</file>